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Розгляд електронних петицій у виконавчому комітеті Славутської міської ради ведеться у відповідності до ст. 23-1 Закону України «Про розгляд звернень громадян», а також у відповідності до </w:t>
      </w:r>
      <w:r>
        <w:rPr>
          <w:color w:val="000000"/>
          <w:sz w:val="28"/>
          <w:szCs w:val="28"/>
        </w:rPr>
        <w:t>Порядку розгляду електронної петиції, адресованої Славутській міській раді, затвердженого рішенням Славутської міської ради від 27.11.2015 р № 18-2/2015.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16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протягом І </w:t>
      </w:r>
      <w:r>
        <w:rPr>
          <w:rFonts w:eastAsia="Calibri" w:cs=""/>
          <w:color w:val="000000"/>
          <w:kern w:val="0"/>
          <w:sz w:val="28"/>
          <w:szCs w:val="28"/>
          <w:lang w:val="uk-UA" w:eastAsia="en-US" w:bidi="ar-SA"/>
        </w:rPr>
        <w:t>півріччя</w:t>
      </w:r>
      <w:r>
        <w:rPr>
          <w:color w:val="000000"/>
          <w:sz w:val="28"/>
          <w:szCs w:val="28"/>
        </w:rPr>
        <w:t xml:space="preserve"> 2025 року до виконавчого комітету Славутської міської ради надійшла 1 петиція, </w:t>
      </w:r>
      <w:r>
        <w:rPr>
          <w:color w:val="000000"/>
          <w:sz w:val="28"/>
          <w:szCs w:val="28"/>
        </w:rPr>
        <w:t>яка не набрала необхідної кількості голосів</w:t>
      </w:r>
      <w:r>
        <w:rPr>
          <w:color w:val="000000"/>
          <w:sz w:val="28"/>
          <w:szCs w:val="28"/>
        </w:rPr>
        <w:t>.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LibreOffice/7.2.2.2$Windows_X86_64 LibreOffice_project/02b2acce88a210515b4a5bb2e46cbfb63fe97d56</Application>
  <AppVersion>15.0000</AppVersion>
  <Pages>1</Pages>
  <Words>65</Words>
  <Characters>426</Characters>
  <CharactersWithSpaces>489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2021-10-20T10:31:00Z</dcterms:created>
  <dc:creator>User1</dc:creator>
  <dc:description/>
  <dc:language>uk-UA</dc:language>
  <cp:lastModifiedBy/>
  <dcterms:modified xsi:type="dcterms:W3CDTF">2025-07-23T10:02:37Z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