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D9" w:rsidRDefault="003F61D9" w:rsidP="003F61D9">
      <w:pPr>
        <w:jc w:val="center"/>
        <w:rPr>
          <w:b/>
          <w:sz w:val="28"/>
          <w:szCs w:val="28"/>
        </w:rPr>
      </w:pPr>
    </w:p>
    <w:p w:rsidR="003F61D9" w:rsidRDefault="003F61D9" w:rsidP="003F61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Фінансово-господарської діяльності</w:t>
      </w:r>
    </w:p>
    <w:p w:rsidR="003F61D9" w:rsidRDefault="003F61D9" w:rsidP="003F61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«Славутське  ЖКО»</w:t>
      </w:r>
    </w:p>
    <w:p w:rsidR="003F61D9" w:rsidRDefault="003F61D9" w:rsidP="003F61D9">
      <w:pPr>
        <w:jc w:val="center"/>
        <w:rPr>
          <w:b/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390"/>
          <w:tab w:val="left" w:pos="6555"/>
        </w:tabs>
        <w:spacing w:line="326" w:lineRule="exact"/>
        <w:ind w:left="-900" w:right="2222"/>
        <w:jc w:val="both"/>
        <w:rPr>
          <w:color w:val="000000"/>
          <w:spacing w:val="-1"/>
          <w:sz w:val="28"/>
          <w:szCs w:val="28"/>
          <w:lang w:val="uk-UA"/>
        </w:rPr>
      </w:pPr>
    </w:p>
    <w:p w:rsidR="003F61D9" w:rsidRDefault="003F61D9" w:rsidP="003F61D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Структурні підрозділи ЖЕК№1 та ЖЕК№2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Arial" w:hAnsi="Arial" w:cs="Arial"/>
          <w:b/>
          <w:i/>
          <w:color w:val="000000"/>
          <w:spacing w:val="-1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>У комунального підприємства «Славутське ЖКО» станом на 01.01.2020 року    в управлінні знаходяться 190 будинків загальною площею – 361,8 тис.кв.м., послуги з управління багатоквартирними будинками безпосередньо надаються структурними підрозділами  ЖЕК №1 та ЖЕК №2.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За  2019 року вищевказаними підрозділами отримано доходу на суму   – 15756,1 тис.грн (без ПДВ),які  оплачені на 95,0% що в сумі складає  – 14972,3тис.грн.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Доходи підрозділів складаються з:</w:t>
      </w:r>
    </w:p>
    <w:p w:rsidR="003F61D9" w:rsidRDefault="003F61D9" w:rsidP="003F61D9">
      <w:pPr>
        <w:numPr>
          <w:ilvl w:val="0"/>
          <w:numId w:val="1"/>
        </w:numPr>
        <w:shd w:val="clear" w:color="auto" w:fill="FFFFFF"/>
        <w:tabs>
          <w:tab w:val="left" w:pos="210"/>
          <w:tab w:val="left" w:pos="6555"/>
        </w:tabs>
        <w:spacing w:after="0" w:line="326" w:lineRule="exact"/>
        <w:ind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послуг з управління багатоповерховими будинками – 13569,6 тис.грн , які оплачені на 94,4% , що в сумі складає  – 12804,7 тис.грн;</w:t>
      </w:r>
    </w:p>
    <w:p w:rsidR="003F61D9" w:rsidRDefault="003F61D9" w:rsidP="003F61D9">
      <w:pPr>
        <w:numPr>
          <w:ilvl w:val="0"/>
          <w:numId w:val="1"/>
        </w:numPr>
        <w:shd w:val="clear" w:color="auto" w:fill="FFFFFF"/>
        <w:tabs>
          <w:tab w:val="left" w:pos="210"/>
          <w:tab w:val="left" w:pos="6555"/>
        </w:tabs>
        <w:spacing w:after="0" w:line="326" w:lineRule="exact"/>
        <w:ind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інші послуги ( технічне обслуговування, перевірка димвентиляційних каналів, підрядні роботи, тощо) що надаються для різних категорій споживачів  - 686,5 тис.грн, які оплачені  на 97,2% та складають – 667,6 тис.грн.</w:t>
      </w:r>
    </w:p>
    <w:p w:rsidR="003F61D9" w:rsidRDefault="003F61D9" w:rsidP="003F61D9">
      <w:pPr>
        <w:numPr>
          <w:ilvl w:val="0"/>
          <w:numId w:val="1"/>
        </w:numPr>
        <w:shd w:val="clear" w:color="auto" w:fill="FFFFFF"/>
        <w:tabs>
          <w:tab w:val="left" w:pos="210"/>
          <w:tab w:val="left" w:pos="6555"/>
        </w:tabs>
        <w:spacing w:after="0" w:line="326" w:lineRule="exact"/>
        <w:ind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відшкодована частина різниці в тарифах на суму – 1500,0 тис.грн.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Нараховані доходи  порівняно із 2018 роком збільшилися на 16,2% або на 2199,2 тис.грн.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Для надання  послуг підрозділами понесено витрат на суму – 15485,8 тис.грн. Даний показник в порівнянні із відповідним періодом 2018 року збільшився  на 13,2% , що в сумі складає – 1805,8 тис.грн  за рахунок збільшення витрати на оплату праці на – 27,5%  із-за підвищення  прожиткового мінімуму на одну особу в розрахунку на місяць для працездатних осіб  (середньозважений прожитковий мінімум 2018 року, що є базою нарахування заробітної плати складав – 1808 грн, а в  2019р.  – 1972грн). Одночасно із збільшенням витрат на оплату праці збільшилася частка витрат на сплату Єдиного соціального внеску на 28,3%.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Проте для недопущення росту загальних витрат по підрозділах підприємством скоординовано зусилля на запроваджені заходів з економії матеріальних витрат, що привело до їх зниження порівняно із 2018 роком відбулося зниження на 22,7% ( за 2018 рік – 3994,9 тис.грн , за 2019 рік – 2089,3 тис.грн) і це при існуванні росту ринкових цін на матеріали та паливо. 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Також на зменшення матеріальних витрат вплинуло зменшення витрат  закупівлі електричної енергії на освітлення місць загального користування на 26,2%, що в сумі складає – 218,7 тис. (у 2018 році витрати складали </w:t>
      </w:r>
      <w:r>
        <w:rPr>
          <w:color w:val="000000"/>
          <w:spacing w:val="-1"/>
          <w:sz w:val="28"/>
          <w:szCs w:val="28"/>
          <w:highlight w:val="yellow"/>
          <w:lang w:val="uk-UA"/>
        </w:rPr>
        <w:t>– 834,8</w:t>
      </w:r>
      <w:r>
        <w:rPr>
          <w:color w:val="000000"/>
          <w:spacing w:val="-1"/>
          <w:sz w:val="28"/>
          <w:szCs w:val="28"/>
          <w:lang w:val="uk-UA"/>
        </w:rPr>
        <w:t xml:space="preserve"> тис.грн, </w:t>
      </w: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а за 2019 рік </w:t>
      </w:r>
      <w:r>
        <w:rPr>
          <w:color w:val="000000"/>
          <w:spacing w:val="-1"/>
          <w:sz w:val="28"/>
          <w:szCs w:val="28"/>
          <w:highlight w:val="yellow"/>
          <w:lang w:val="uk-UA"/>
        </w:rPr>
        <w:t>– 616,1 тис</w:t>
      </w:r>
      <w:r>
        <w:rPr>
          <w:color w:val="000000"/>
          <w:spacing w:val="-1"/>
          <w:sz w:val="28"/>
          <w:szCs w:val="28"/>
          <w:lang w:val="uk-UA"/>
        </w:rPr>
        <w:t xml:space="preserve">.грн), економія досягнута за рахунок заміни звичайних світильників із лампами розжарювання 75Вт- 100Вт на світлодіодні світильники 7Вт. 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Фінансовий результат діяльності підрозділів ЖЕК 1 та ЖЕК 2  - отримано прибуток у сумі – 270,3 тис.грн. за рахунок відшкодування різниці в тарифах, який спрямований на погашення кредиторської заборгованості з податку з доходів фізичних осіб.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Дебіторська заборгованість на кінець 2019 року складає – 2194,2 тис.грн,  збільшилася із показником на початок звітного періоду на 937,8 тис.грн , за рахунок збільшення нарахування плати за послуги у зв’язку із підвищенням вартості цих послуг в середньому на 30,3 % 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Дебіторська заборгованість з різниці між затвердженими тарифами та повною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426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фактичною собівартістю послуг з утримання будинків споруд та прибудинкових територій,  станом на 01.01.2020 року залишається невідшкодованою у сумі  –  13546,8 тис.грн.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01.08.2019 року підприємством заключено договорів з управління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426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багатоквартирними будинками – 190 договір. Ціна відповідних послуг визначена на кожний будинок окремо середньозважений розмір складає – 4,30грн/м2, зокрема  </w:t>
      </w:r>
      <w:r>
        <w:rPr>
          <w:color w:val="000000"/>
          <w:spacing w:val="-1"/>
          <w:sz w:val="28"/>
          <w:szCs w:val="28"/>
          <w:lang w:val="en-US"/>
        </w:rPr>
        <w:t>min</w:t>
      </w:r>
      <w:r>
        <w:rPr>
          <w:color w:val="000000"/>
          <w:spacing w:val="-1"/>
          <w:sz w:val="28"/>
          <w:szCs w:val="28"/>
        </w:rPr>
        <w:t xml:space="preserve"> –</w:t>
      </w:r>
      <w:r>
        <w:rPr>
          <w:color w:val="000000"/>
          <w:spacing w:val="-1"/>
          <w:sz w:val="28"/>
          <w:szCs w:val="28"/>
          <w:lang w:val="uk-UA"/>
        </w:rPr>
        <w:t xml:space="preserve"> 1,96грн/м2 та  </w:t>
      </w:r>
      <w:r>
        <w:rPr>
          <w:color w:val="000000"/>
          <w:spacing w:val="-1"/>
          <w:sz w:val="28"/>
          <w:szCs w:val="28"/>
          <w:lang w:val="en-US"/>
        </w:rPr>
        <w:t>max</w:t>
      </w:r>
      <w:r>
        <w:rPr>
          <w:color w:val="000000"/>
          <w:spacing w:val="-1"/>
          <w:sz w:val="28"/>
          <w:szCs w:val="28"/>
          <w:lang w:val="uk-UA"/>
        </w:rPr>
        <w:t xml:space="preserve"> – 5,92 грн/м2. </w:t>
      </w: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210"/>
          <w:tab w:val="left" w:pos="6555"/>
        </w:tabs>
        <w:spacing w:line="326" w:lineRule="exact"/>
        <w:ind w:left="-360" w:right="99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Структурний підрозділ ПТМ</w:t>
      </w:r>
      <w:r>
        <w:rPr>
          <w:color w:val="000000"/>
          <w:spacing w:val="-1"/>
          <w:sz w:val="28"/>
          <w:szCs w:val="28"/>
          <w:lang w:val="uk-UA"/>
        </w:rPr>
        <w:t xml:space="preserve"> 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Станом на 01.01.2020 року на балансі структурного підрозділу ЖКО  ПТМ рахується 14 діючих котелень, які опалюють 236,4 тис.кв.м. площі, в тому числі по групах споживачів: населення  – 189,5 тис.кв.м та інші – 46,9 тис.кв.м.  Опалювальна площа в порівняні із 2018 роком зменшилася на 2,3 тис.кв.м у звязку із відключенням споживачів від централізованого опалення. Здійснено відключення 10 житлових будинків опалення яких є неефективним.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За 2019 рік обсяг корисного відпуску теплової енергії склав –                27,5тис.Гкал., в т.ч.: населенню – 22,1 тис.Гкал., іншій групі споживачів – 5,4тис.Гкал.. Порівняно із 2018 роком даний показник зменшився  на 5,82% або на 1,7тис.Гкал.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За 2019 рік порівняно із 2018 роком спожито енергоресурсів, а саме: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-  природного газу  у кількості – 4536,9тис.куб.м, що на 3,5% або 164,6 тис.куб.м менше ніж у 2018 році;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-   електроенергію спожито – 954,1 тис. кВт.год., що на 33,57% або 239,8 тис кВт.год більше ніж у 2018 році, за рахунок того, що у першій половині 2018 року </w:t>
      </w: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споживання електроенергії за котельнями по вул.Здоров’я,11 та вул.Садова,4 здійснював інший виробник теплової енергії ТОВ «Алтеко»;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-   води спожито – 1999,0 м. куб, що порівняно із звітним періодом 2018 року на  27,1%,  або 743,0 м.куб. менше ніж  у 2018 році.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Загальний баланс витрат склав: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 w:firstLine="42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за споживання природного газу  – 28825,0тис.грн.., що на 6,36% або  1957,2 тис.грн менше а ніж за відповідний період минулого року. На зменшення  витрат вплинуло економія споживання, а також зменшення ціни на природний газ, яка  з вересня 2019 року із послугами транспортування та розподілу склала – 6295,24 грн/1000куб.м, що на 24,7%  або на 2066,6 грн/1000куб.м. менше ніж у 2018 році, яка складала – 8361,84 грн /1000куб.м..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 w:firstLine="42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- за  споживання електричної енергії  - 2432,3 тис.грн,  що на 760,4тис. грн. більше ніж у 2018 році.. На ріст витрат вплинуло ріст цін на електроенергію на кінець звітного періоду  склала – 3,43грн. за кВт.год. з ПДВ та в порівнянні із відповідним періодом 2018 року  збільшилася на 21,63%, або 0,6 грн. за кожну кВт.год.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 w:firstLine="42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-на споживання води – 45,5 тис.грн, що на 6,1 тис.грн менше ніж у 2018 році, на і це при умові,  тариф на воду та водовідведення у 2019 році зріс на 15,59% або на 4,40грн/м3 (2018 році тариф складав – 27,96 грн/м3, а у 2019 році – 32,32 грн/м3).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За послуги виробництва, транспортування та постачання теплової енергії та централізованого опалення, а з листопада 2019 року за послуги з постачання теплової енергії підприємством нараховані доходи на суму – 37747,6 </w:t>
      </w:r>
      <w:r>
        <w:rPr>
          <w:sz w:val="28"/>
          <w:szCs w:val="28"/>
          <w:lang w:val="uk-UA"/>
        </w:rPr>
        <w:t xml:space="preserve">тис. грн без ПДВ, зокрема: населенню – 30610,8 тис.грн без ПДВ та іншої групи споживачів – 7136,8 тис.грн без ПДВ. З них підприємство фактично отримало  – </w:t>
      </w:r>
      <w:r>
        <w:rPr>
          <w:sz w:val="28"/>
          <w:szCs w:val="28"/>
          <w:highlight w:val="yellow"/>
          <w:lang w:val="uk-UA"/>
        </w:rPr>
        <w:t>36212,8</w:t>
      </w:r>
      <w:r>
        <w:rPr>
          <w:sz w:val="28"/>
          <w:szCs w:val="28"/>
          <w:lang w:val="uk-UA"/>
        </w:rPr>
        <w:t xml:space="preserve"> тис.грн без ПДВ, що складає  95,9% оплати від нарахованих доходів.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відрахуванням Постанови НКРЕКП № 217 на спец рахунки ЖКО відкриті у Ощадбанку, для використання підприємству фактично надійшло коштів    4248,9 тис.грн, це 9,8% коштів від оплачених доходів.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Одночасно ЖКО для виробництва, транспортування та постачання теплової енергії понесло витрат на суму –  39808,5 тис.грн.  Даний показник в порівняні із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роком підприємству за рахунок економії споживання енергоресурсів вдалося утримати майже на рівні попереднього року. Збільшення відбулося   на – 140,2 тис.грн або на 0,4%.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Дебіторська заборгованість з різниці в тарифах по послугах теплопостачання станом на 01.01.2020 року складає – 16405,7 тис.грн, в тому числі: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надані послуги з теплопостачання для категорії споживачів «населення» –  13162,8 тис.грн,  з них заборгованість державного бюджету – 6206,2тис.грн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за надані послуги з теплопостачання для категорії  «бюджетні установи» –  3242,9тис.грн., з них 1621,5 тис. грн заборгованість з державного бюджету.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Витрати на функціонування центру «Спорт для всіх» за 2019 рік склали – 422,8  тис.грн  з них фактично  профінансовано – 94,6%, що в сумі становить – 400,0 тис.грн 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Використання фактично отриманих коштів.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рахунки  та касу КП «Славутське ЖКО» для використання за  2019 рік  фактично отримало – 27510,7 тис.грн – це 44,4% від оплачених споживачами коштів (64160,8тис.грн), в тому числі :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-від послуг управління багатоквартирними будинками – 17666,8 тис.грн;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 послуг з теплопостачання  - 6805,30 тис.грн, 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дебітора ТОВ «АЛТЕКО» - 2638,6 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доходи – 400,0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Отримані кошти КП «Славутське ЖКО» використало: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-виплачена заробітна плата для працівників, що задіяні у наданні послуг з управління багатоквартирними будинками та послуг теплопостачання 12764,4тис.грн.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оплачено ЄСВ – 22% - 3512,6 тис.грн.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оплачено прибутковий податок – 2795,5 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ПДВ – 2306,3тис.грн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військовий збір – 264,3 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спожиту електроенергію, що споживається на освітлення місць загального користування та у сфері теплопостачання – 3658,1 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-ПАТ «Хмельницькгаз» за техобслуговування газопроводів та газового обладнання – 129,8тис.грн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Проектно-кошторисна документація на «Реконструкцію димової труби котельні по вул.Козацька, 41» - 16,5 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кредиторська заборгованість – 2063,2 тис.грн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360" w:right="9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Дебіторська заборгованість без різниці в тарифах всього по підприємству  станом на 27.01.2020 року складає – 16009,7тис.грн: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left="-426" w:right="9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-населення, бюджет та інші групи споживачів щодо послуг з управління багатоквартирних будинків та послуг теплопостачання, вивіз сміття - 12097,5тис.грн;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-ТОВ «АЛТЕКО»  - 3830,2 тис. грн залишилося невідшкодованою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 дебіторська заборгованість – 82,0 тис.грн .</w:t>
      </w:r>
    </w:p>
    <w:p w:rsidR="003F61D9" w:rsidRDefault="003F61D9" w:rsidP="003F61D9">
      <w:pPr>
        <w:shd w:val="clear" w:color="auto" w:fill="FFFFFF"/>
        <w:tabs>
          <w:tab w:val="left" w:pos="6555"/>
          <w:tab w:val="left" w:pos="9360"/>
        </w:tabs>
        <w:spacing w:line="326" w:lineRule="exact"/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Кредиторська заборгованість станом на 27.01.2020 року  склала – 21806,1тис.грн., яку підприємству вдалося зменшити порівняно із кредиторською заборгованістю попереднього періоду станом на 01.12.2019 року на 20,1% або на 5482,9 тис.грн.        </w:t>
      </w:r>
    </w:p>
    <w:p w:rsidR="003F61D9" w:rsidRDefault="003F61D9" w:rsidP="003F61D9">
      <w:pPr>
        <w:jc w:val="both"/>
        <w:rPr>
          <w:sz w:val="28"/>
          <w:szCs w:val="28"/>
          <w:lang w:val="uk-UA"/>
        </w:rPr>
      </w:pPr>
    </w:p>
    <w:p w:rsidR="003F61D9" w:rsidRDefault="003F61D9" w:rsidP="003F61D9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Протягом звітного періоду   КП «Славутське ЖКО» здійснило оплату податків та внесків до державно цільових    фондів на суму – 9054,7 тис.грн.  У порівнянні з показником  попереднього звітного періоду сплата податків і зборів збільшилася  на 1079,3 тис.грн, аба на 13,53% в т.ч.:</w:t>
      </w:r>
    </w:p>
    <w:p w:rsidR="003F61D9" w:rsidRDefault="003F61D9" w:rsidP="003F61D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Єдиний соціальний внесок – 3512,6 тис.грн., що на 113,4 тис.грн. або на 3,13%  менше попереднього звітного періоду; </w:t>
      </w:r>
    </w:p>
    <w:p w:rsidR="003F61D9" w:rsidRDefault="003F61D9" w:rsidP="003F61D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Прибутковий податок -  2795,5 тис.грн., що на 703 тис.грн. або 2,45 % менше попереднього звітного періоду; </w:t>
      </w:r>
    </w:p>
    <w:p w:rsidR="003F61D9" w:rsidRDefault="003F61D9" w:rsidP="003F61D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ПДВ – 2306,3 тис.грн., що на 985,2 тис.грн. або на 1321,1 тис.грн або  134,09%  більше попереднього звітного   періоду;</w:t>
      </w:r>
    </w:p>
    <w:p w:rsidR="003F61D9" w:rsidRDefault="003F61D9" w:rsidP="003F61D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Екологічний податок –176,0тис.грн., що на 39,7 тис.грн. або 18,4% менше попереднього звітного  періоду;</w:t>
      </w:r>
    </w:p>
    <w:p w:rsidR="003F61D9" w:rsidRDefault="003F61D9" w:rsidP="003F61D9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Військовий збір – 264,3тис.грн</w:t>
      </w:r>
      <w:r>
        <w:rPr>
          <w:lang w:val="uk-UA"/>
        </w:rPr>
        <w:t xml:space="preserve"> , </w:t>
      </w:r>
      <w:r>
        <w:rPr>
          <w:sz w:val="28"/>
          <w:szCs w:val="28"/>
          <w:lang w:val="uk-UA"/>
        </w:rPr>
        <w:t>що на 6,7тис.грн. або на 2,47% менше попереднього звітного періоду.</w:t>
      </w:r>
    </w:p>
    <w:p w:rsidR="003F61D9" w:rsidRDefault="003F61D9" w:rsidP="003F61D9">
      <w:pPr>
        <w:shd w:val="clear" w:color="auto" w:fill="FFFFFF"/>
        <w:tabs>
          <w:tab w:val="left" w:pos="6555"/>
        </w:tabs>
        <w:spacing w:line="326" w:lineRule="exact"/>
        <w:ind w:right="99"/>
        <w:rPr>
          <w:b/>
          <w:color w:val="000000"/>
          <w:spacing w:val="-1"/>
          <w:sz w:val="24"/>
          <w:szCs w:val="24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</w:tabs>
        <w:spacing w:line="326" w:lineRule="exact"/>
        <w:ind w:right="99"/>
        <w:rPr>
          <w:b/>
          <w:color w:val="000000"/>
          <w:spacing w:val="-1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</w:tabs>
        <w:spacing w:line="326" w:lineRule="exact"/>
        <w:ind w:right="99"/>
        <w:rPr>
          <w:b/>
          <w:color w:val="000000"/>
          <w:spacing w:val="-1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</w:tabs>
        <w:spacing w:line="326" w:lineRule="exact"/>
        <w:ind w:right="99"/>
        <w:rPr>
          <w:b/>
          <w:color w:val="000000"/>
          <w:spacing w:val="-1"/>
          <w:lang w:val="uk-UA"/>
        </w:rPr>
      </w:pPr>
    </w:p>
    <w:p w:rsidR="003F61D9" w:rsidRDefault="003F61D9" w:rsidP="003F61D9">
      <w:pPr>
        <w:shd w:val="clear" w:color="auto" w:fill="FFFFFF"/>
        <w:tabs>
          <w:tab w:val="left" w:pos="6555"/>
        </w:tabs>
        <w:spacing w:line="326" w:lineRule="exact"/>
        <w:ind w:right="99"/>
        <w:rPr>
          <w:b/>
          <w:color w:val="000000"/>
          <w:spacing w:val="-1"/>
          <w:lang w:val="uk-UA"/>
        </w:rPr>
      </w:pPr>
    </w:p>
    <w:p w:rsidR="006F37D5" w:rsidRDefault="006F37D5">
      <w:bookmarkStart w:id="0" w:name="_GoBack"/>
      <w:bookmarkEnd w:id="0"/>
    </w:p>
    <w:sectPr w:rsidR="006F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4A5F"/>
    <w:multiLevelType w:val="hybridMultilevel"/>
    <w:tmpl w:val="CB1C66BE"/>
    <w:lvl w:ilvl="0" w:tplc="2D884588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2AF7142"/>
    <w:multiLevelType w:val="hybridMultilevel"/>
    <w:tmpl w:val="5916F64A"/>
    <w:lvl w:ilvl="0" w:tplc="33489FB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76"/>
    <w:rsid w:val="00313F76"/>
    <w:rsid w:val="003F61D9"/>
    <w:rsid w:val="006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ED41-3011-459C-AA49-861EE66E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8636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2020-04-07T06:08:00Z</dcterms:created>
  <dcterms:modified xsi:type="dcterms:W3CDTF">2020-04-07T06:08:00Z</dcterms:modified>
</cp:coreProperties>
</file>